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rStyle w:val="afc"/>
          <w:bCs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409825" cy="841375"/>
                <wp:effectExtent l="0" t="0" r="0" b="0"/>
                <wp:wrapTight wrapText="bothSides">
                  <wp:wrapPolygon edited="1">
                    <wp:start x="2903" y="0"/>
                    <wp:lineTo x="0" y="4402"/>
                    <wp:lineTo x="0" y="12715"/>
                    <wp:lineTo x="2220" y="15650"/>
                    <wp:lineTo x="1878" y="18584"/>
                    <wp:lineTo x="2049" y="21029"/>
                    <wp:lineTo x="2561" y="21029"/>
                    <wp:lineTo x="4098" y="21029"/>
                    <wp:lineTo x="17929" y="19562"/>
                    <wp:lineTo x="17758" y="15650"/>
                    <wp:lineTo x="21344" y="13205"/>
                    <wp:lineTo x="21344" y="8314"/>
                    <wp:lineTo x="15709" y="7825"/>
                    <wp:lineTo x="16734" y="5869"/>
                    <wp:lineTo x="15880" y="3912"/>
                    <wp:lineTo x="3757" y="0"/>
                    <wp:lineTo x="2903" y="0"/>
                  </wp:wrapPolygon>
                </wp:wrapTight>
                <wp:docPr id="1" name="Рисунок 1" descr="Основное лого 2 Челябинская обла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Основное лого 2 Челябинская область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420746" cy="84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left;mso-position-vertical-relative:text;margin-top:4.20pt;mso-position-vertical:absolute;width:189.75pt;height:66.25pt;mso-wrap-distance-left:9.00pt;mso-wrap-distance-top:0.00pt;mso-wrap-distance-right:9.00pt;mso-wrap-distance-bottom:0.00pt;" wrapcoords="13440 0 0 20380 0 58866 10278 72454 8694 86037 9486 97356 11856 97356 18972 97356 83005 90565 82213 72454 98815 61134 98815 38491 72727 36227 77472 27171 73519 18111 17394 0 13440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06.06.2025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Горячая линия по банкротству физических лиц прошла в челябинском Росреестре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bookmarkStart w:id="0" w:name="_GoBack"/>
      <w:bookmarkEnd w:id="0"/>
      <w:r>
        <w:rPr>
          <w:b/>
          <w:sz w:val="28"/>
          <w:szCs w:val="28"/>
        </w:rPr>
        <w:t xml:space="preserve"> Управлении Росреестра по Челябинской области состоялась горячая линия на тему «Как проходит процедура банкротства?».  На звонки отвечала начальник отдела контроля (надзора) за деятельностью арбитражных управляющих Евгения Бисерова.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гражданин берет кредит в банке, он рассчитывает исправно вносить платежи, но ситуация может измениться. </w:t>
      </w:r>
      <w:r>
        <w:rPr>
          <w:sz w:val="28"/>
          <w:szCs w:val="28"/>
        </w:rPr>
        <w:t xml:space="preserve">Увольнение с</w:t>
      </w:r>
      <w:r>
        <w:rPr>
          <w:sz w:val="28"/>
          <w:szCs w:val="28"/>
        </w:rPr>
        <w:t xml:space="preserve"> работы, болезнь, сложные жизненные обстоятельства — есть ряд причин, по которым заемщик способен потерять платежеспособность. Выходом в некоторых случаях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банкротство. Простыми словами, банкротство физлиц — это списание долгов. Оно регламентируется на законодательном уровне. В нормативном документе сказано, что каждый гражданин, у которого нет возможности выплачивать кредиты или погашать другие накопившиеся долги, имеет право пройти процедуру банкротства и освободиться от денежных обязательств. </w:t>
      </w:r>
      <w:r>
        <w:rPr>
          <w:sz w:val="28"/>
          <w:szCs w:val="28"/>
        </w:rPr>
        <w:t xml:space="preserve">Однако здесь всегда стоит помнить о последствиях признания себя банкротом!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Банкротство всегда вызывает множество вопросов у южноуральцев. Возможность получить консультацию была на горячей линии, которая прошла в минувшую среду. Региональный Росреестр в рамках своей компетенции включен в процедуру банкротства и взаимодействует с арбитражными (</w:t>
      </w:r>
      <w:r>
        <w:rPr>
          <w:sz w:val="28"/>
          <w:szCs w:val="28"/>
        </w:rPr>
        <w:t xml:space="preserve">финансовыми</w:t>
      </w:r>
      <w:r>
        <w:rPr>
          <w:sz w:val="28"/>
          <w:szCs w:val="28"/>
        </w:rPr>
        <w:t xml:space="preserve">) управляющими. А именно, осуществляет контроль (надзор) в сфере саморегулируемых организаций арбитражных управляющих, участвует в собраниях кредиторов, включен в работу по реализации государственной политики в сфере несостоятельности (банкротства) для ликвидации задолженности по заработной плате.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Делимся ответами на ТОП – 3 заданных эксперту регионального Росреестра по телефону вопросов.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afb"/>
        <w:numPr>
          <w:numId w:val="10"/>
          <w:ilvl w:val="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Зачем нужна процедура банкротства граждан и какие обязательства можно списать?</w:t>
      </w:r>
    </w:p>
    <w:p>
      <w:pPr>
        <w:ind w:left="851"/>
        <w:jc w:val="both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банкротства физических лиц была введена в российское законодательство в конце 2015 года, что по историческим меркам составляет совсем небольшой срок даже для Российской Федерации. Федеральным законом от 29.06.2015 № 154-ФЗ внесены изменения в Федеральный закон от 26.10.2002 № 127-ФЗ «О несостоятельности (банкротстве)» с этого момента начинает свой отсчет правовое регулирование отношений, связанных с банкротством граждан.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2015 года в России заявить о банкротстве и пройти соответствующую процедуру могло только юридическое лицо. Данный нормативный акт направлен на поддержку населения, освобождения от долговых обязательств. С сентября 2020 года </w:t>
      </w:r>
      <w:r>
        <w:rPr>
          <w:sz w:val="28"/>
          <w:szCs w:val="28"/>
        </w:rPr>
        <w:t xml:space="preserve">появилась новая процедура списания безнадежных долгов – процедура внесудебного банкротства.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обязательств, которые можно списать при банкротстве, относятся долги перед кредитными учреждениями, налоговым органом, другими физическими лицами, обязательства по оплате коммунальных услуг.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. Что нужно сделать человеку, если он сам не в состоянии расплатиться с долгами? (банкротство​ по заявлению должника). 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случае следует: 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заявление о несостоятельности;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аявление, а также документы, подтверждающие несостоятельность, направить в Арбитражный суд;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заявления необходимо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всем кредиторам, о которых известно заявителю; 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 депозит суда сумму вознаграждения для арбитражного управляющего;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условия соблюдены, суд возбудит дело о банкротстве и назначит заседания, где придётся доказать несостоятельность, опираясь на предоставленные документы;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суд соглашается с доводами, он принимает решение о банкротстве и назначает арбитражного управляющего, задача которого – провести инвентаризацию имущества должника и по возможности выплатить часть долга;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управляющий </w:t>
      </w:r>
      <w:r>
        <w:rPr>
          <w:sz w:val="28"/>
          <w:szCs w:val="28"/>
        </w:rPr>
        <w:t xml:space="preserve">вправе</w:t>
      </w:r>
      <w:r>
        <w:rPr>
          <w:sz w:val="28"/>
          <w:szCs w:val="28"/>
        </w:rPr>
        <w:t xml:space="preserve"> вынести имущество должника на торги или найти компромисс между сторонами – договориться о реструктуризации долга;</w:t>
      </w: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всё имущество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ушло с торгов, а долги так и не выплачены и управляющий приходит к выводу, что у должника нет возможности для их погашения, долги списываются</w:t>
      </w:r>
      <w:r>
        <w:rPr>
          <w:rFonts w:cs="Segoe UI Symbol" w:asciiTheme="minorHAnsi" w:hAnsiTheme="minorHAnsi"/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</w:p>
    <w:p>
      <w:pPr>
        <w:ind w:left="426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Куда обращаться с заявлением о банкротстве?</w:t>
      </w:r>
    </w:p>
    <w:p>
      <w:pPr>
        <w:ind w:left="426" w:firstLine="283"/>
        <w:jc w:val="both"/>
        <w:rPr>
          <w:b/>
          <w:sz w:val="28"/>
          <w:szCs w:val="28"/>
        </w:rPr>
      </w:pPr>
    </w:p>
    <w:p>
      <w:pPr>
        <w:pStyle w:val="afb"/>
        <w:numPr>
          <w:numId w:val="9"/>
          <w:ilvl w:val="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долг составляет от 25 тыс. до 1 млн руб., то можно подать заявление во внесудебном порядке через МФЦ по месту жительства или пребывания (при условии окончания исполнительного производства в связи с отсутствием имущества должника, на которое может быть обращено взыскание). Внесудебная процедура бесплатная.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firstLine="540"/>
        <w:jc w:val="both"/>
      </w:pPr>
      <w:r>
        <w:rPr>
          <w:sz w:val="28"/>
          <w:szCs w:val="28"/>
        </w:rPr>
        <w:t xml:space="preserve">Если долг свыше 500 000 руб. </w:t>
      </w:r>
      <w:r>
        <w:rPr>
          <w:color w:val="000000"/>
        </w:rPr>
        <w:t xml:space="preserve">-</w:t>
      </w:r>
      <w:r>
        <w:rPr>
          <w:color w:val="000000"/>
          <w:sz w:val="28"/>
          <w:szCs w:val="28"/>
        </w:rPr>
        <w:t xml:space="preserve"> указанные требования не исполнены в течение трех месяцев с даты, когда они должны быть </w:t>
      </w:r>
      <w:r>
        <w:rPr>
          <w:color w:val="000000"/>
          <w:sz w:val="28"/>
          <w:szCs w:val="28"/>
        </w:rPr>
        <w:t xml:space="preserve">соблюдены</w:t>
      </w:r>
      <w:r>
        <w:rPr>
          <w:color w:val="000000"/>
        </w:rPr>
        <w:t xml:space="preserve"> - </w:t>
      </w:r>
      <w:r>
        <w:rPr>
          <w:sz w:val="28"/>
          <w:szCs w:val="28"/>
        </w:rPr>
        <w:t xml:space="preserve">заявление подается в Арбитражный суд. При подаче заявления в суд на депозит суда вносится сумма в размере 25 тыс. руб. для оплаты вознаграждения финансового управляющего.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709"/>
        <w:jc w:val="right"/>
        <w:rPr>
          <w:i/>
          <w:sz w:val="28"/>
          <w:szCs w:val="28"/>
        </w:rPr>
      </w:pPr>
    </w:p>
    <w:p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Пресс-служба Управления Росреестра </w:t>
      </w:r>
    </w:p>
    <w:p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филиала Роскадастра по Челябинской области</w:t>
      </w:r>
    </w:p>
    <w:sectPr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1CAC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1E3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9F01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4C62D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E4CAD4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AEC0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9301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47CB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FFA8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B1361964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963C1F5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DEAE79C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41BADB7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F9C35CC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56961F96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23C8FDB4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792850F6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65AE1DD4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7E5E7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3A63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6803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BA86B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A8A13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0CAB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AC2E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CB4EE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A129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 w:tplc="5A8C0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4AAA58">
      <w:start w:val="1"/>
      <w:numFmt w:val="lowerLetter"/>
      <w:lvlText w:val="%2."/>
      <w:lvlJc w:val="left"/>
      <w:pPr>
        <w:ind w:left="1789" w:hanging="360"/>
      </w:pPr>
    </w:lvl>
    <w:lvl w:ilvl="2" w:tplc="940AC84C">
      <w:start w:val="1"/>
      <w:numFmt w:val="lowerRoman"/>
      <w:lvlText w:val="%3."/>
      <w:lvlJc w:val="right"/>
      <w:pPr>
        <w:ind w:left="2509" w:hanging="180"/>
      </w:pPr>
    </w:lvl>
    <w:lvl w:ilvl="3" w:tplc="B21C8376">
      <w:start w:val="1"/>
      <w:numFmt w:val="decimal"/>
      <w:lvlText w:val="%4."/>
      <w:lvlJc w:val="left"/>
      <w:pPr>
        <w:ind w:left="3229" w:hanging="360"/>
      </w:pPr>
    </w:lvl>
    <w:lvl w:ilvl="4" w:tplc="B91CD822">
      <w:start w:val="1"/>
      <w:numFmt w:val="lowerLetter"/>
      <w:lvlText w:val="%5."/>
      <w:lvlJc w:val="left"/>
      <w:pPr>
        <w:ind w:left="3949" w:hanging="360"/>
      </w:pPr>
    </w:lvl>
    <w:lvl w:ilvl="5" w:tplc="150A8C26">
      <w:start w:val="1"/>
      <w:numFmt w:val="lowerRoman"/>
      <w:lvlText w:val="%6."/>
      <w:lvlJc w:val="right"/>
      <w:pPr>
        <w:ind w:left="4669" w:hanging="180"/>
      </w:pPr>
    </w:lvl>
    <w:lvl w:ilvl="6" w:tplc="FD6E1C9E">
      <w:start w:val="1"/>
      <w:numFmt w:val="decimal"/>
      <w:lvlText w:val="%7."/>
      <w:lvlJc w:val="left"/>
      <w:pPr>
        <w:ind w:left="5389" w:hanging="360"/>
      </w:pPr>
    </w:lvl>
    <w:lvl w:ilvl="7" w:tplc="4E661010">
      <w:start w:val="1"/>
      <w:numFmt w:val="lowerLetter"/>
      <w:lvlText w:val="%8."/>
      <w:lvlJc w:val="left"/>
      <w:pPr>
        <w:ind w:left="6109" w:hanging="360"/>
      </w:pPr>
    </w:lvl>
    <w:lvl w:ilvl="8" w:tplc="960E42F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5D8C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7681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586A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2045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E883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574A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1A6AB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00F1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2DA5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 w:tplc="8138E56C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FEEC33E6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862A7C8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9C34E8C4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3C4EC66C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CB0C00AA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CDC22C12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F49A75AA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55946A06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FDEA8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CD4A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F0AD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18C9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3EAA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A1EA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63A9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E642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B4E1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 w:tplc="C27A6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4B603C2">
      <w:start w:val="1"/>
      <w:numFmt w:val="lowerLetter"/>
      <w:lvlText w:val="%2."/>
      <w:lvlJc w:val="left"/>
      <w:pPr>
        <w:ind w:left="1647" w:hanging="360"/>
      </w:pPr>
    </w:lvl>
    <w:lvl w:ilvl="2" w:tplc="6A0A8366">
      <w:start w:val="1"/>
      <w:numFmt w:val="lowerRoman"/>
      <w:lvlText w:val="%3."/>
      <w:lvlJc w:val="right"/>
      <w:pPr>
        <w:ind w:left="2367" w:hanging="180"/>
      </w:pPr>
    </w:lvl>
    <w:lvl w:ilvl="3" w:tplc="83B4FE02">
      <w:start w:val="1"/>
      <w:numFmt w:val="decimal"/>
      <w:lvlText w:val="%4."/>
      <w:lvlJc w:val="left"/>
      <w:pPr>
        <w:ind w:left="3087" w:hanging="360"/>
      </w:pPr>
    </w:lvl>
    <w:lvl w:ilvl="4" w:tplc="38A6ABC0">
      <w:start w:val="1"/>
      <w:numFmt w:val="lowerLetter"/>
      <w:lvlText w:val="%5."/>
      <w:lvlJc w:val="left"/>
      <w:pPr>
        <w:ind w:left="3807" w:hanging="360"/>
      </w:pPr>
    </w:lvl>
    <w:lvl w:ilvl="5" w:tplc="5928D234">
      <w:start w:val="1"/>
      <w:numFmt w:val="lowerRoman"/>
      <w:lvlText w:val="%6."/>
      <w:lvlJc w:val="right"/>
      <w:pPr>
        <w:ind w:left="4527" w:hanging="180"/>
      </w:pPr>
    </w:lvl>
    <w:lvl w:ilvl="6" w:tplc="9AFAEEEE">
      <w:start w:val="1"/>
      <w:numFmt w:val="decimal"/>
      <w:lvlText w:val="%7."/>
      <w:lvlJc w:val="left"/>
      <w:pPr>
        <w:ind w:left="5247" w:hanging="360"/>
      </w:pPr>
    </w:lvl>
    <w:lvl w:ilvl="7" w:tplc="D8D04DDE">
      <w:start w:val="1"/>
      <w:numFmt w:val="lowerLetter"/>
      <w:lvlText w:val="%8."/>
      <w:lvlJc w:val="left"/>
      <w:pPr>
        <w:ind w:left="5967" w:hanging="360"/>
      </w:pPr>
    </w:lvl>
    <w:lvl w:ilvl="8" w:tplc="A03C8662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 w:tplc="43206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9DEF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C2E7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382F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AE4C3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0DE7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AC2D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C102A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5FC1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 w:tplc="D6B2F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7D2A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28C1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01C47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33E06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E62A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324BC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C3CA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A3EE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a" w:customStyle="1">
    <w:name w:val="Текст выноски Знак"/>
    <w:basedOn w:val="a0"/>
    <w:link w:val="af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 w:customStyle="1">
    <w:name w:val="Нет"/>
  </w:style>
  <w:style w:type="paragraph" w:styleId="13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Pr>
      <w:b/>
      <w:bCs/>
    </w:rPr>
  </w:style>
  <w:style w:type="paragraph" w:styleId="25" w:customStyle="1">
    <w:name w:val="Основной текст2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14" w:customStyle="1">
    <w:name w:val="Без интервала1"/>
    <w:pPr>
      <w:spacing w:after="0" w:line="240" w:lineRule="auto"/>
    </w:pPr>
    <w:rPr>
      <w:rFonts w:ascii="Calibri" w:hAnsi="Calibri" w:eastAsia="Times New Roman" w:cs="Calibri"/>
    </w:rPr>
  </w:style>
  <w:style w:type="character" w:styleId="aff">
    <w:name w:val="Emphasis"/>
    <w:basedOn w:val="a0"/>
    <w:uiPriority w:val="20"/>
    <w:qFormat/>
    <w:rPr>
      <w:i/>
      <w:iCs/>
    </w:rPr>
  </w:style>
  <w:style w:type="paragraph" w:styleId="230" w:customStyle="1">
    <w:name w:val="Основной текст с отступом 23"/>
    <w:basedOn w:val="a"/>
    <w:pPr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styleId="aff2" w:customStyle="1">
    <w:name w:val="Текст примечания Знак"/>
    <w:basedOn w:val="a0"/>
    <w:link w:val="aff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styleId="aff4" w:customStyle="1">
    <w:name w:val="Тема примечания Знак"/>
    <w:basedOn w:val="aff2"/>
    <w:link w:val="aff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3922</Characters>
  <CharactersWithSpaces>4601</CharactersWithSpaces>
  <Company/>
  <DocSecurity>0</DocSecurity>
  <HyperlinksChanged>false</HyperlinksChanged>
  <Lines>32</Lines>
  <LinksUpToDate>false</LinksUpToDate>
  <Pages>2</Pages>
  <Paragraphs>9</Paragraphs>
  <ScaleCrop>false</ScaleCrop>
  <SharedDoc>false</SharedDoc>
  <Template>Normal</Template>
  <TotalTime>29</TotalTime>
  <Words>688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6</cp:revision>
  <dcterms:created xsi:type="dcterms:W3CDTF">2025-06-06T11:00:00Z</dcterms:created>
  <dcterms:modified xsi:type="dcterms:W3CDTF">2025-06-23T10:20:00Z</dcterms:modified>
</cp:coreProperties>
</file>